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9006" w14:textId="77777777" w:rsidR="001C0322" w:rsidRDefault="00A538DF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56CB2AC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19.05pt;margin-top:8.1pt;width:358.1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5AE532BC" w14:textId="360CCF6F" w:rsidR="005E0D29" w:rsidRDefault="0087174B" w:rsidP="005E0D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№8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5E0D29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A538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1 от 22 марта 2024 г</w:t>
                  </w:r>
                  <w:r w:rsidR="005E0D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 о </w:t>
                  </w:r>
                  <w:r w:rsidR="005E0D29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5E0D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5E0D29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5E0D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5E0D29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5E0D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5E0D29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5E0D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5D84D82" w14:textId="77777777" w:rsidR="0087174B" w:rsidRPr="00252E45" w:rsidRDefault="005E0D29" w:rsidP="005E0D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460F6200"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1D0B547F" w14:textId="77777777" w:rsidR="0087174B" w:rsidRDefault="0087174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8116A0" wp14:editId="664DB869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1F26EBAE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32C4036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43A834D4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72F7AF5" wp14:editId="538CE47E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F81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3125FD1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A538DF" w14:paraId="2708C425" w14:textId="77777777" w:rsidTr="0058767E">
        <w:trPr>
          <w:trHeight w:val="1591"/>
        </w:trPr>
        <w:tc>
          <w:tcPr>
            <w:tcW w:w="4679" w:type="dxa"/>
            <w:gridSpan w:val="2"/>
          </w:tcPr>
          <w:p w14:paraId="62F2B402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13F09DD3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10E36D1D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7FDDB39E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116B8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7740BC8A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098DFBFD" w14:textId="77777777" w:rsidR="001C0322" w:rsidRPr="00145BF8" w:rsidRDefault="00145BF8" w:rsidP="00D40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D40A09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D40A09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D40A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D40A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358275EF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65991DE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053D9DA3" w14:textId="77777777" w:rsidR="00D40A0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D40A0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(далее – Субъект МСП) </w:t>
            </w:r>
          </w:p>
          <w:p w14:paraId="27D51B3B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65C715C2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68F320F2" w14:textId="77777777" w:rsidR="001C0322" w:rsidRPr="00252E45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9534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5243DCEC" w14:textId="77777777" w:rsidR="003461FE" w:rsidRPr="00462049" w:rsidRDefault="003461FE" w:rsidP="00587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07F30FD" w14:textId="77777777" w:rsidR="0087174B" w:rsidRDefault="0087174B" w:rsidP="005876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Комплексная усл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уга по содействию в размещении С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убъектов 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МСП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(или) товара (работы, услуги) С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убъекта 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МСП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международных электронных торговых площадках предоставляется 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убъектам 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МСП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запросу</w:t>
            </w:r>
          </w:p>
          <w:p w14:paraId="7A8718EC" w14:textId="77777777" w:rsidR="00AE142C" w:rsidRPr="004B7D10" w:rsidRDefault="00A538DF" w:rsidP="00D40A09">
            <w:pPr>
              <w:pStyle w:val="ConsPlusNormal"/>
              <w:spacing w:before="200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  <w:pict w14:anchorId="5F26874B">
                <v:rect id="_x0000_s1050" style="position:absolute;left:0;text-align:left;margin-left:4.65pt;margin-top:7.7pt;width:13.15pt;height:10.65pt;z-index:251677696"/>
              </w:pict>
            </w:r>
            <w:r w:rsidR="00F0744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Cs w:val="20"/>
              </w:rPr>
              <w:t>а</w:t>
            </w:r>
            <w:r w:rsidR="00304A0B" w:rsidRPr="00F07446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адаптаци</w:t>
            </w:r>
            <w:r w:rsidR="00E21EE6">
              <w:rPr>
                <w:rFonts w:ascii="Times New Roman" w:eastAsia="Times New Roman" w:hAnsi="Times New Roman" w:cs="Times New Roman"/>
                <w:color w:val="000000"/>
                <w:szCs w:val="20"/>
              </w:rPr>
              <w:t>я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и перевод информации, указанной на упаковке товара, других материалах, включая съемку продукта</w:t>
            </w:r>
            <w:r w:rsidR="0087174B" w:rsidRPr="00E21EE6">
              <w:rPr>
                <w:rFonts w:ascii="Times New Roman" w:eastAsia="Times New Roman" w:hAnsi="Times New Roman" w:cs="Times New Roman"/>
                <w:color w:val="000000"/>
                <w:szCs w:val="20"/>
              </w:rPr>
              <w:t>;</w:t>
            </w:r>
          </w:p>
          <w:p w14:paraId="2BD40CB9" w14:textId="77777777" w:rsidR="00304A0B" w:rsidRPr="00304A0B" w:rsidRDefault="00DF37EE" w:rsidP="0058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213A0F" wp14:editId="247E95FD">
                  <wp:extent cx="262393" cy="214686"/>
                  <wp:effectExtent l="0" t="0" r="0" b="0"/>
                  <wp:docPr id="3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</w:t>
            </w:r>
            <w:r w:rsidR="00E2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продвижение </w:t>
            </w:r>
            <w:r w:rsidR="0011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международной электронной торговой площадке, в том числе организаци</w:t>
            </w:r>
            <w:r w:rsidR="00E2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по</w:t>
            </w:r>
            <w:r w:rsidR="0011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регистрации точки присутствия С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</w:t>
            </w:r>
            <w:r w:rsidR="00AE142C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F8D9C5" w14:textId="77777777" w:rsidR="00C94DF0" w:rsidRPr="002C1869" w:rsidRDefault="00A538DF" w:rsidP="00F07446">
            <w:pPr>
              <w:ind w:firstLine="425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1E70EB29">
                <v:rect id="_x0000_s1047" style="position:absolute;left:0;text-align:left;margin-left:7.1pt;margin-top:-.15pt;width:13.15pt;height:10.65pt;z-index:251676672"/>
              </w:pict>
            </w:r>
            <w:r w:rsidR="005876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14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142C" w:rsidRPr="008717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7EE" w:rsidRPr="00DF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</w:t>
            </w:r>
            <w:r w:rsidR="0011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азмещении и хранении продукции С</w:t>
            </w:r>
            <w:r w:rsidR="00DF37EE" w:rsidRPr="00DF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 w:rsidR="00DF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F37EE" w:rsidRPr="00DF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местах временного хранения за рубежом не более 6 (шести) месяцев площадью не более 100 (ста) квадратных метров</w:t>
            </w:r>
            <w:r w:rsidR="00F0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одного Субъекта МСП</w:t>
            </w:r>
            <w:r w:rsidR="00D40A09" w:rsidRPr="00D4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0A09">
              <w:rPr>
                <w:rFonts w:ascii="Times New Roman" w:hAnsi="Times New Roman" w:cs="Times New Roman"/>
                <w:szCs w:val="20"/>
              </w:rPr>
              <w:t>(</w:t>
            </w:r>
            <w:r w:rsidR="00D40A09">
              <w:rPr>
                <w:rFonts w:ascii="Times New Roman" w:hAnsi="Times New Roman" w:cs="Times New Roman"/>
                <w:b/>
                <w:szCs w:val="20"/>
              </w:rPr>
              <w:t>софинансирование не менее 20% Субъектом МСП</w:t>
            </w:r>
            <w:r w:rsidR="00D40A09">
              <w:rPr>
                <w:rFonts w:ascii="Times New Roman" w:hAnsi="Times New Roman" w:cs="Times New Roman"/>
                <w:szCs w:val="20"/>
              </w:rPr>
              <w:t>);</w:t>
            </w:r>
            <w:r w:rsidR="00F0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C0322" w:rsidRPr="00252E45" w14:paraId="42862AEA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219AA05A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9534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40658B7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62DD5EAF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02922F5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9534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52EE393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02D563F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61864912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2E26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20E1473D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1652A534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B98682C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2B6D6029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D76AE52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D0A84B6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7921CF3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7BB5B797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1E0EBC1E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29534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6539FB8" w14:textId="77777777" w:rsidR="001C0322" w:rsidRPr="00D023F0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412320FF" w14:textId="77777777" w:rsidR="001C0322" w:rsidRPr="006974E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59E0CE3E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05511DB6" w14:textId="77777777" w:rsidR="001C0322" w:rsidRPr="00252E45" w:rsidRDefault="001C0322" w:rsidP="00295349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13ED7A5B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187BA11F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2E2DB81A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0551244" w14:textId="77777777" w:rsidR="001C0322" w:rsidRPr="00252E45" w:rsidRDefault="001C0322" w:rsidP="00295349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7AAA8A33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7B84BC03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98034B5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2AFC7E69" w14:textId="77777777" w:rsidR="001C0322" w:rsidRPr="00252E45" w:rsidRDefault="001C0322" w:rsidP="00295349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38A4821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5AFDE67D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34274" w:rsidRPr="00252E45" w14:paraId="5083DAEC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2E1CA" w14:textId="77777777" w:rsidR="00634274" w:rsidRDefault="00634274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DC1FC3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204CDAA7" w14:textId="77777777" w:rsidR="00634274" w:rsidRDefault="00634274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3F6CEB18" w14:textId="77777777" w:rsidR="00634274" w:rsidRPr="00252E45" w:rsidRDefault="00634274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634274" w:rsidRPr="00252E45" w14:paraId="68097F50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27C74" w14:textId="77777777" w:rsidR="00634274" w:rsidRPr="00E21EE6" w:rsidRDefault="00634274" w:rsidP="0068171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5C1D5D7C" w14:textId="77777777" w:rsidR="00634274" w:rsidRPr="00E21EE6" w:rsidRDefault="00634274" w:rsidP="0068171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D9834E3" w14:textId="77777777" w:rsidR="00634274" w:rsidRPr="00E21EE6" w:rsidRDefault="00634274" w:rsidP="0068171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0331D650" w14:textId="77777777" w:rsidR="00634274" w:rsidRPr="00E21EE6" w:rsidRDefault="00634274" w:rsidP="0068171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29F779A1" w14:textId="77777777" w:rsidR="00634274" w:rsidRPr="00E21EE6" w:rsidRDefault="00634274" w:rsidP="00B005C5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пункте 4 СОГЛАШЕНИЯ);</w:t>
            </w:r>
          </w:p>
          <w:p w14:paraId="1601E2AB" w14:textId="77777777" w:rsidR="00634274" w:rsidRPr="00307094" w:rsidRDefault="00634274" w:rsidP="00B005C5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назначить и обеспечить обучение ответственного сотрудника для работы на электронной торговой площадке;</w:t>
            </w:r>
          </w:p>
          <w:p w14:paraId="6161880B" w14:textId="77777777" w:rsidR="00634274" w:rsidRPr="00307094" w:rsidRDefault="00634274" w:rsidP="00577DF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</w:t>
            </w:r>
            <w:r w:rsidRPr="00307094">
              <w:t xml:space="preserve"> 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/.</w:t>
            </w:r>
          </w:p>
          <w:p w14:paraId="75AD0A99" w14:textId="77777777" w:rsidR="00634274" w:rsidRPr="00307094" w:rsidRDefault="00634274" w:rsidP="00577DF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F07446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0A7C9269" w14:textId="77777777" w:rsidR="00634274" w:rsidRPr="00252E45" w:rsidRDefault="00634274" w:rsidP="00B005C5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F66109B" w14:textId="77777777" w:rsidR="001C0322" w:rsidRPr="00252E45" w:rsidRDefault="0058767E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14:paraId="1997DD68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1EEE8AB0" w14:textId="77777777" w:rsidTr="006A035F">
        <w:tc>
          <w:tcPr>
            <w:tcW w:w="234" w:type="dxa"/>
            <w:hideMark/>
          </w:tcPr>
          <w:p w14:paraId="7215A31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31F828D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AE02E2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5580461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CACF87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2C5F25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0613B38" w14:textId="77777777" w:rsidTr="006A035F">
        <w:tc>
          <w:tcPr>
            <w:tcW w:w="234" w:type="dxa"/>
            <w:hideMark/>
          </w:tcPr>
          <w:p w14:paraId="404B3351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1FFC78C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33B32A2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B6550F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78E101E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6B12EED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D29A517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01AF43B8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3BC58D9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4D57FA0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7F3FD2DE" w14:textId="77777777" w:rsidTr="006A035F">
        <w:trPr>
          <w:trHeight w:val="360"/>
        </w:trPr>
        <w:tc>
          <w:tcPr>
            <w:tcW w:w="234" w:type="dxa"/>
            <w:hideMark/>
          </w:tcPr>
          <w:p w14:paraId="2D8DD639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5600BE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40B60D97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3341DD1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2168AB1A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778C58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BA331F5" w14:textId="77777777" w:rsidTr="006A035F">
        <w:trPr>
          <w:trHeight w:val="70"/>
        </w:trPr>
        <w:tc>
          <w:tcPr>
            <w:tcW w:w="234" w:type="dxa"/>
            <w:hideMark/>
          </w:tcPr>
          <w:p w14:paraId="4E897945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0AFE383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5BE676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0491855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DB5AA9B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1D5EDF2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1EC06197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60F620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8261417">
    <w:abstractNumId w:val="1"/>
  </w:num>
  <w:num w:numId="2" w16cid:durableId="178730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15E31"/>
    <w:rsid w:val="00116B83"/>
    <w:rsid w:val="00123EF7"/>
    <w:rsid w:val="00145BF8"/>
    <w:rsid w:val="001566B6"/>
    <w:rsid w:val="001611DD"/>
    <w:rsid w:val="001652FB"/>
    <w:rsid w:val="00183FF4"/>
    <w:rsid w:val="00184153"/>
    <w:rsid w:val="001A7ACF"/>
    <w:rsid w:val="001C0322"/>
    <w:rsid w:val="001C562B"/>
    <w:rsid w:val="00217896"/>
    <w:rsid w:val="00252E45"/>
    <w:rsid w:val="00295349"/>
    <w:rsid w:val="002C0445"/>
    <w:rsid w:val="002C1869"/>
    <w:rsid w:val="002D7627"/>
    <w:rsid w:val="002E2409"/>
    <w:rsid w:val="00304A0B"/>
    <w:rsid w:val="00307094"/>
    <w:rsid w:val="003426C0"/>
    <w:rsid w:val="003461FE"/>
    <w:rsid w:val="00357A36"/>
    <w:rsid w:val="00377F2E"/>
    <w:rsid w:val="004058E0"/>
    <w:rsid w:val="00434460"/>
    <w:rsid w:val="0043655B"/>
    <w:rsid w:val="00455462"/>
    <w:rsid w:val="00455FA3"/>
    <w:rsid w:val="00462049"/>
    <w:rsid w:val="004814DE"/>
    <w:rsid w:val="004B7D10"/>
    <w:rsid w:val="00505808"/>
    <w:rsid w:val="005360D0"/>
    <w:rsid w:val="005604C8"/>
    <w:rsid w:val="00575184"/>
    <w:rsid w:val="00577DF6"/>
    <w:rsid w:val="0058767E"/>
    <w:rsid w:val="005A00AD"/>
    <w:rsid w:val="005A5AF2"/>
    <w:rsid w:val="005A5D88"/>
    <w:rsid w:val="005E0D29"/>
    <w:rsid w:val="005F4137"/>
    <w:rsid w:val="006272A3"/>
    <w:rsid w:val="00634274"/>
    <w:rsid w:val="00655762"/>
    <w:rsid w:val="0067328A"/>
    <w:rsid w:val="00681711"/>
    <w:rsid w:val="00683C5F"/>
    <w:rsid w:val="006974ED"/>
    <w:rsid w:val="006A035F"/>
    <w:rsid w:val="006D5F73"/>
    <w:rsid w:val="007378C2"/>
    <w:rsid w:val="007D2D83"/>
    <w:rsid w:val="00860C30"/>
    <w:rsid w:val="00863820"/>
    <w:rsid w:val="0087174B"/>
    <w:rsid w:val="00880E41"/>
    <w:rsid w:val="0088273D"/>
    <w:rsid w:val="008B10E6"/>
    <w:rsid w:val="00937CDE"/>
    <w:rsid w:val="00973BAE"/>
    <w:rsid w:val="00976B71"/>
    <w:rsid w:val="009C6145"/>
    <w:rsid w:val="009D0FE9"/>
    <w:rsid w:val="009F5A8B"/>
    <w:rsid w:val="00A538DF"/>
    <w:rsid w:val="00AC074F"/>
    <w:rsid w:val="00AD618C"/>
    <w:rsid w:val="00AE142C"/>
    <w:rsid w:val="00B005C5"/>
    <w:rsid w:val="00B021A9"/>
    <w:rsid w:val="00B20A37"/>
    <w:rsid w:val="00B25AAA"/>
    <w:rsid w:val="00B4775F"/>
    <w:rsid w:val="00B80EDD"/>
    <w:rsid w:val="00B97C55"/>
    <w:rsid w:val="00C3008E"/>
    <w:rsid w:val="00C63388"/>
    <w:rsid w:val="00C666E0"/>
    <w:rsid w:val="00C94DF0"/>
    <w:rsid w:val="00CF5D85"/>
    <w:rsid w:val="00D023F0"/>
    <w:rsid w:val="00D1249A"/>
    <w:rsid w:val="00D40A09"/>
    <w:rsid w:val="00D74774"/>
    <w:rsid w:val="00D93C4E"/>
    <w:rsid w:val="00DB14EF"/>
    <w:rsid w:val="00DC1FC3"/>
    <w:rsid w:val="00DD23B0"/>
    <w:rsid w:val="00DE43D6"/>
    <w:rsid w:val="00DF37EE"/>
    <w:rsid w:val="00E04E61"/>
    <w:rsid w:val="00E21EE6"/>
    <w:rsid w:val="00E23984"/>
    <w:rsid w:val="00E33858"/>
    <w:rsid w:val="00E54F85"/>
    <w:rsid w:val="00E5556E"/>
    <w:rsid w:val="00E9512C"/>
    <w:rsid w:val="00EA5EEE"/>
    <w:rsid w:val="00EC5639"/>
    <w:rsid w:val="00F07446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36FB618"/>
  <w15:docId w15:val="{C10F1642-21C1-4ECA-B198-24EBA64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4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81</cp:revision>
  <cp:lastPrinted>2021-04-13T13:51:00Z</cp:lastPrinted>
  <dcterms:created xsi:type="dcterms:W3CDTF">2019-12-05T11:12:00Z</dcterms:created>
  <dcterms:modified xsi:type="dcterms:W3CDTF">2024-03-22T13:48:00Z</dcterms:modified>
</cp:coreProperties>
</file>